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Amalia" w:hAnsi="Amalia"/>
          <w:lang w:val="en-GB"/>
        </w:rPr>
      </w:pPr>
    </w:p>
    <w:tbl>
      <w:tblPr>
        <w:tblStyle w:val="a"/>
        <w:tblW w:w="0" w:type="auto"/>
        <w:tblInd w:w="2197" w:type="dxa"/>
        <w:tblLayout w:type="fixed"/>
        <w:tblLook w:val="0000" w:firstRow="0" w:lastRow="0" w:firstColumn="0" w:lastColumn="0" w:noHBand="0" w:noVBand="0"/>
      </w:tblPr>
      <w:tblGrid>
        <w:gridCol w:w="5244"/>
      </w:tblGrid>
      <w:tr>
        <w:trPr>
          <w:trHeight w:val="1435"/>
        </w:trPr>
        <w:tc>
          <w:tcPr>
            <w:tcW w:w="5244" w:type="dxa"/>
            <w:tcBorders>
              <w:top w:val="single" w:sz="4" w:space="0" w:color="auto"/>
              <w:left w:val="single" w:sz="4" w:space="0" w:color="auto"/>
              <w:bottom w:val="single" w:sz="4" w:space="0" w:color="auto"/>
              <w:right w:val="single" w:sz="4" w:space="0" w:color="auto"/>
            </w:tcBorders>
            <w:vAlign w:val="center"/>
          </w:tcPr>
          <w:p>
            <w:pPr>
              <w:jc w:val="center"/>
              <w:rPr>
                <w:rFonts w:ascii="Amalia" w:eastAsia="Poppins" w:hAnsi="Amalia" w:cs="Poppins"/>
                <w:b/>
                <w:sz w:val="28"/>
                <w:szCs w:val="28"/>
                <w:lang w:val="en-GB"/>
              </w:rPr>
            </w:pPr>
            <w:r>
              <w:rPr>
                <w:rFonts w:ascii="Amalia" w:eastAsia="Poppins" w:hAnsi="Amalia" w:cs="Poppins"/>
                <w:b/>
                <w:sz w:val="28"/>
                <w:szCs w:val="28"/>
                <w:lang w:val="en-GB"/>
              </w:rPr>
              <w:t>Complaint Procedure</w:t>
            </w:r>
          </w:p>
          <w:p>
            <w:pPr>
              <w:jc w:val="center"/>
              <w:rPr>
                <w:rFonts w:ascii="Amalia" w:eastAsia="Poppins" w:hAnsi="Amalia" w:cs="Poppins"/>
                <w:b/>
                <w:sz w:val="28"/>
                <w:szCs w:val="28"/>
                <w:lang w:val="en-GB"/>
              </w:rPr>
            </w:pPr>
            <w:r>
              <w:rPr>
                <w:rFonts w:ascii="Amalia" w:eastAsia="Poppins" w:hAnsi="Amalia" w:cs="Poppins"/>
                <w:b/>
                <w:sz w:val="28"/>
                <w:szCs w:val="28"/>
                <w:lang w:val="en-GB"/>
              </w:rPr>
              <w:t xml:space="preserve"> of Raiffeisen – Leasing, </w:t>
            </w:r>
            <w:proofErr w:type="spellStart"/>
            <w:r>
              <w:rPr>
                <w:rFonts w:ascii="Amalia" w:eastAsia="Poppins" w:hAnsi="Amalia" w:cs="Poppins"/>
                <w:b/>
                <w:sz w:val="28"/>
                <w:szCs w:val="28"/>
                <w:lang w:val="en-GB"/>
              </w:rPr>
              <w:t>s.r.o.</w:t>
            </w:r>
            <w:proofErr w:type="spellEnd"/>
            <w:r>
              <w:rPr>
                <w:rFonts w:ascii="Amalia" w:eastAsia="Poppins" w:hAnsi="Amalia" w:cs="Poppins"/>
                <w:b/>
                <w:sz w:val="28"/>
                <w:szCs w:val="28"/>
                <w:lang w:val="en-GB"/>
              </w:rPr>
              <w:t xml:space="preserve"> </w:t>
            </w:r>
          </w:p>
          <w:p>
            <w:pPr>
              <w:jc w:val="center"/>
              <w:rPr>
                <w:rFonts w:ascii="Amalia" w:eastAsia="Poppins" w:hAnsi="Amalia" w:cs="Poppins"/>
                <w:b/>
                <w:sz w:val="28"/>
                <w:szCs w:val="28"/>
                <w:lang w:val="en-GB"/>
              </w:rPr>
            </w:pPr>
            <w:r>
              <w:rPr>
                <w:rFonts w:ascii="Amalia" w:eastAsia="Poppins" w:hAnsi="Amalia" w:cs="Poppins"/>
                <w:b/>
                <w:sz w:val="28"/>
                <w:szCs w:val="28"/>
                <w:lang w:val="en-GB"/>
              </w:rPr>
              <w:t>applicable to the Consumers</w:t>
            </w:r>
          </w:p>
        </w:tc>
      </w:tr>
    </w:tbl>
    <w:p>
      <w:pPr>
        <w:rPr>
          <w:rFonts w:ascii="Amalia" w:eastAsia="Poppins" w:hAnsi="Amalia" w:cs="Poppins"/>
          <w:sz w:val="18"/>
          <w:szCs w:val="18"/>
          <w:lang w:val="en-GB"/>
        </w:rPr>
      </w:pPr>
    </w:p>
    <w:p>
      <w:pPr>
        <w:ind w:left="-284"/>
        <w:jc w:val="both"/>
        <w:rPr>
          <w:rFonts w:ascii="Amalia" w:eastAsia="Poppins" w:hAnsi="Amalia" w:cs="Poppins"/>
          <w:lang w:val="en-GB"/>
        </w:rPr>
      </w:pPr>
      <w:bookmarkStart w:id="0" w:name="_heading=h.gjdgxs" w:colFirst="0" w:colLast="0"/>
      <w:bookmarkEnd w:id="0"/>
      <w:r>
        <w:rPr>
          <w:rFonts w:ascii="Amalia" w:eastAsia="Poppins" w:hAnsi="Amalia" w:cs="Poppins"/>
          <w:lang w:val="en-GB"/>
        </w:rPr>
        <w:t>The company</w:t>
      </w:r>
      <w:r>
        <w:rPr>
          <w:rFonts w:ascii="Amalia" w:eastAsia="Poppins" w:hAnsi="Amalia" w:cs="Poppins"/>
          <w:b/>
          <w:lang w:val="en-GB"/>
        </w:rPr>
        <w:t xml:space="preserve"> Raiffeisen – Leasing, </w:t>
      </w:r>
      <w:proofErr w:type="spellStart"/>
      <w:r>
        <w:rPr>
          <w:rFonts w:ascii="Amalia" w:eastAsia="Poppins" w:hAnsi="Amalia" w:cs="Poppins"/>
          <w:b/>
          <w:lang w:val="en-GB"/>
        </w:rPr>
        <w:t>s.r.o.</w:t>
      </w:r>
      <w:proofErr w:type="spellEnd"/>
      <w:r>
        <w:rPr>
          <w:rFonts w:ascii="Amalia" w:eastAsia="Poppins" w:hAnsi="Amalia" w:cs="Poppins"/>
          <w:lang w:val="en-GB"/>
        </w:rPr>
        <w:t xml:space="preserve">, with its registered office at </w:t>
      </w:r>
      <w:proofErr w:type="spellStart"/>
      <w:r>
        <w:rPr>
          <w:rFonts w:ascii="Amalia" w:eastAsia="Poppins" w:hAnsi="Amalia" w:cs="Poppins"/>
          <w:lang w:val="en-GB"/>
        </w:rPr>
        <w:t>Hvězdova</w:t>
      </w:r>
      <w:proofErr w:type="spellEnd"/>
      <w:r>
        <w:rPr>
          <w:rFonts w:ascii="Amalia" w:eastAsia="Poppins" w:hAnsi="Amalia" w:cs="Poppins"/>
          <w:lang w:val="en-GB"/>
        </w:rPr>
        <w:t xml:space="preserve"> 1716/2b, 140 00 Prague 4, ID No. 61467863, registered at the Municipal Court in Prague, Section C, </w:t>
      </w:r>
      <w:proofErr w:type="gramStart"/>
      <w:r>
        <w:rPr>
          <w:rFonts w:ascii="Amalia" w:eastAsia="Poppins" w:hAnsi="Amalia" w:cs="Poppins"/>
          <w:lang w:val="en-GB"/>
        </w:rPr>
        <w:t>Insert</w:t>
      </w:r>
      <w:proofErr w:type="gramEnd"/>
      <w:r>
        <w:rPr>
          <w:rFonts w:ascii="Amalia" w:eastAsia="Poppins" w:hAnsi="Amalia" w:cs="Poppins"/>
          <w:lang w:val="en-GB"/>
        </w:rPr>
        <w:t xml:space="preserve"> 29553 (hereinafter referred to as the “RLCZ”) publishes this Complaint Procedure.</w:t>
      </w:r>
    </w:p>
    <w:p>
      <w:pPr>
        <w:ind w:left="-284"/>
        <w:jc w:val="both"/>
        <w:rPr>
          <w:rFonts w:ascii="Amalia" w:eastAsia="Poppins" w:hAnsi="Amalia" w:cs="Poppins"/>
          <w:lang w:val="en-GB"/>
        </w:rPr>
      </w:pPr>
    </w:p>
    <w:p>
      <w:pPr>
        <w:pStyle w:val="Odstavecseseznamem"/>
        <w:numPr>
          <w:ilvl w:val="0"/>
          <w:numId w:val="2"/>
        </w:numPr>
        <w:rPr>
          <w:rFonts w:ascii="Amalia" w:hAnsi="Amalia"/>
          <w:b/>
          <w:bCs/>
          <w:u w:val="single"/>
          <w:lang w:val="en-GB"/>
        </w:rPr>
      </w:pPr>
      <w:r>
        <w:rPr>
          <w:rFonts w:ascii="Amalia" w:hAnsi="Amalia"/>
          <w:b/>
          <w:bCs/>
          <w:u w:val="single"/>
          <w:lang w:val="en-GB"/>
        </w:rPr>
        <w:t xml:space="preserve">Complaint, method of submission and content requirements </w:t>
      </w:r>
    </w:p>
    <w:p>
      <w:pPr>
        <w:spacing w:before="120"/>
        <w:jc w:val="both"/>
        <w:rPr>
          <w:rFonts w:ascii="Amalia" w:hAnsi="Amalia"/>
          <w:lang w:val="en-GB"/>
        </w:rPr>
      </w:pPr>
      <w:r>
        <w:rPr>
          <w:rFonts w:ascii="Amalia" w:hAnsi="Amalia"/>
          <w:lang w:val="en-GB"/>
        </w:rPr>
        <w:t xml:space="preserve">The Complaint Procedure applies to complaints from consumers interested in services provided by RLCZ / from the clients of RLCZ </w:t>
      </w:r>
      <w:r>
        <w:rPr>
          <w:rFonts w:ascii="Amalia" w:eastAsia="Poppins" w:hAnsi="Amalia" w:cs="Poppins"/>
          <w:lang w:val="en-GB"/>
        </w:rPr>
        <w:t>(hereinafter referred to as the “Consumer”).</w:t>
      </w:r>
    </w:p>
    <w:p>
      <w:pPr>
        <w:rPr>
          <w:rFonts w:ascii="Amalia" w:hAnsi="Amalia"/>
          <w:lang w:val="en-GB"/>
        </w:rPr>
      </w:pPr>
    </w:p>
    <w:p>
      <w:pPr>
        <w:spacing w:after="120"/>
        <w:rPr>
          <w:rFonts w:ascii="Amalia" w:hAnsi="Amalia"/>
          <w:lang w:val="en-GB"/>
        </w:rPr>
      </w:pPr>
      <w:r>
        <w:rPr>
          <w:rFonts w:ascii="Amalia" w:hAnsi="Amalia"/>
          <w:lang w:val="en-GB"/>
        </w:rPr>
        <w:t>The complaint is:</w:t>
      </w:r>
    </w:p>
    <w:p>
      <w:pPr>
        <w:pStyle w:val="Odstavecseseznamem"/>
        <w:numPr>
          <w:ilvl w:val="0"/>
          <w:numId w:val="3"/>
        </w:numPr>
        <w:jc w:val="both"/>
        <w:rPr>
          <w:rFonts w:ascii="Amalia" w:hAnsi="Amalia"/>
          <w:lang w:val="en-GB"/>
        </w:rPr>
      </w:pPr>
      <w:r>
        <w:rPr>
          <w:rFonts w:ascii="Amalia" w:hAnsi="Amalia"/>
          <w:lang w:val="en-GB"/>
        </w:rPr>
        <w:t xml:space="preserve">a submission by which the Consumer expresses disagreement or dissatisfaction with a process, decision, action or behaviour of RLCZ and / or its representatives and demands </w:t>
      </w:r>
      <w:proofErr w:type="gramStart"/>
      <w:r>
        <w:rPr>
          <w:rFonts w:ascii="Amalia" w:hAnsi="Amalia"/>
          <w:lang w:val="en-GB"/>
        </w:rPr>
        <w:t>redress;</w:t>
      </w:r>
      <w:proofErr w:type="gramEnd"/>
    </w:p>
    <w:p>
      <w:pPr>
        <w:pStyle w:val="Odstavecseseznamem"/>
        <w:numPr>
          <w:ilvl w:val="0"/>
          <w:numId w:val="3"/>
        </w:numPr>
        <w:jc w:val="both"/>
        <w:rPr>
          <w:rFonts w:ascii="Amalia" w:hAnsi="Amalia"/>
          <w:lang w:val="en-GB"/>
        </w:rPr>
      </w:pPr>
      <w:r>
        <w:rPr>
          <w:rFonts w:ascii="Amalia" w:hAnsi="Amalia"/>
          <w:lang w:val="en-GB"/>
        </w:rPr>
        <w:t>a submission by which the Consumer claims a defect of services provided by RLCZ and demands redress of the defect or its consequence.</w:t>
      </w:r>
    </w:p>
    <w:p>
      <w:pPr>
        <w:jc w:val="both"/>
        <w:rPr>
          <w:rFonts w:ascii="Amalia" w:hAnsi="Amalia"/>
          <w:lang w:val="en-GB"/>
        </w:rPr>
      </w:pPr>
    </w:p>
    <w:p>
      <w:pPr>
        <w:spacing w:after="120"/>
        <w:rPr>
          <w:rFonts w:ascii="Amalia" w:hAnsi="Amalia"/>
          <w:lang w:val="en-GB"/>
        </w:rPr>
      </w:pPr>
      <w:r>
        <w:rPr>
          <w:rFonts w:ascii="Amalia" w:hAnsi="Amalia"/>
          <w:lang w:val="en-GB"/>
        </w:rPr>
        <w:t>The complaint can be submitted:</w:t>
      </w:r>
    </w:p>
    <w:p>
      <w:pPr>
        <w:pStyle w:val="Odstavecseseznamem"/>
        <w:numPr>
          <w:ilvl w:val="0"/>
          <w:numId w:val="4"/>
        </w:numPr>
        <w:jc w:val="both"/>
        <w:rPr>
          <w:rFonts w:ascii="Amalia" w:hAnsi="Amalia"/>
          <w:lang w:val="en-GB"/>
        </w:rPr>
      </w:pPr>
      <w:r>
        <w:rPr>
          <w:rFonts w:ascii="Amalia" w:hAnsi="Amalia"/>
          <w:lang w:val="en-GB"/>
        </w:rPr>
        <w:t xml:space="preserve">in writing to the registered address of RLCZ: </w:t>
      </w:r>
      <w:proofErr w:type="spellStart"/>
      <w:r>
        <w:rPr>
          <w:rFonts w:ascii="Amalia" w:hAnsi="Amalia"/>
          <w:lang w:val="en-GB"/>
        </w:rPr>
        <w:t>Hvězdova</w:t>
      </w:r>
      <w:proofErr w:type="spellEnd"/>
      <w:r>
        <w:rPr>
          <w:rFonts w:ascii="Amalia" w:hAnsi="Amalia"/>
          <w:lang w:val="en-GB"/>
        </w:rPr>
        <w:t xml:space="preserve"> </w:t>
      </w:r>
      <w:r>
        <w:rPr>
          <w:rFonts w:ascii="Amalia" w:eastAsia="Poppins" w:hAnsi="Amalia" w:cs="Poppins"/>
          <w:lang w:val="en-GB"/>
        </w:rPr>
        <w:t>1716/2b, 140 00 Prague 4</w:t>
      </w:r>
    </w:p>
    <w:p>
      <w:pPr>
        <w:pStyle w:val="Odstavecseseznamem"/>
        <w:numPr>
          <w:ilvl w:val="0"/>
          <w:numId w:val="4"/>
        </w:numPr>
        <w:jc w:val="both"/>
        <w:rPr>
          <w:rFonts w:ascii="Amalia" w:hAnsi="Amalia"/>
          <w:lang w:val="en-GB"/>
        </w:rPr>
      </w:pPr>
      <w:r>
        <w:rPr>
          <w:rFonts w:ascii="Amalia" w:eastAsia="Poppins" w:hAnsi="Amalia" w:cs="Poppins"/>
          <w:lang w:val="en-GB"/>
        </w:rPr>
        <w:t xml:space="preserve">by email to: </w:t>
      </w:r>
      <w:hyperlink r:id="rId8" w:history="1">
        <w:r>
          <w:rPr>
            <w:rStyle w:val="Hypertextovodkaz"/>
            <w:rFonts w:ascii="Amalia" w:eastAsia="Poppins" w:hAnsi="Amalia" w:cs="Poppins"/>
            <w:lang w:val="en-GB"/>
          </w:rPr>
          <w:t>rl@rl.cz</w:t>
        </w:r>
      </w:hyperlink>
    </w:p>
    <w:p>
      <w:pPr>
        <w:pStyle w:val="Odstavecseseznamem"/>
        <w:numPr>
          <w:ilvl w:val="0"/>
          <w:numId w:val="4"/>
        </w:numPr>
        <w:jc w:val="both"/>
        <w:rPr>
          <w:rFonts w:ascii="Amalia" w:hAnsi="Amalia"/>
          <w:lang w:val="en-GB"/>
        </w:rPr>
      </w:pPr>
      <w:r>
        <w:rPr>
          <w:rFonts w:ascii="Amalia" w:eastAsia="Poppins" w:hAnsi="Amalia" w:cs="Poppins"/>
          <w:lang w:val="en-GB"/>
        </w:rPr>
        <w:t xml:space="preserve">in person </w:t>
      </w:r>
      <w:r>
        <w:rPr>
          <w:rFonts w:ascii="Amalia" w:hAnsi="Amalia"/>
          <w:lang w:val="en-GB"/>
        </w:rPr>
        <w:t>at the registered office address of RLCZ (see above) or at any branch office of RLCZ (addresses published on RLCZ´s website)</w:t>
      </w:r>
    </w:p>
    <w:p>
      <w:pPr>
        <w:pStyle w:val="Odstavecseseznamem"/>
        <w:numPr>
          <w:ilvl w:val="0"/>
          <w:numId w:val="4"/>
        </w:numPr>
        <w:jc w:val="both"/>
        <w:rPr>
          <w:rFonts w:ascii="Amalia" w:hAnsi="Amalia"/>
          <w:lang w:val="en-GB"/>
        </w:rPr>
      </w:pPr>
      <w:r>
        <w:rPr>
          <w:rFonts w:ascii="Amalia" w:hAnsi="Amalia"/>
          <w:lang w:val="en-GB"/>
        </w:rPr>
        <w:t>by phone at: +420 221 511 611</w:t>
      </w:r>
    </w:p>
    <w:p>
      <w:pPr>
        <w:pStyle w:val="Odstavecseseznamem"/>
        <w:numPr>
          <w:ilvl w:val="0"/>
          <w:numId w:val="4"/>
        </w:numPr>
        <w:jc w:val="both"/>
        <w:rPr>
          <w:rFonts w:ascii="Amalia" w:hAnsi="Amalia"/>
          <w:lang w:val="en-GB"/>
        </w:rPr>
      </w:pPr>
      <w:r>
        <w:rPr>
          <w:rFonts w:ascii="Amalia" w:hAnsi="Amalia"/>
          <w:lang w:val="en-GB"/>
        </w:rPr>
        <w:t>by data box: ID x3cv8at.</w:t>
      </w:r>
    </w:p>
    <w:p>
      <w:pPr>
        <w:jc w:val="both"/>
        <w:rPr>
          <w:rFonts w:ascii="Amalia" w:hAnsi="Amalia"/>
          <w:lang w:val="en-GB"/>
        </w:rPr>
      </w:pPr>
    </w:p>
    <w:p>
      <w:pPr>
        <w:spacing w:after="120"/>
        <w:rPr>
          <w:rFonts w:ascii="Amalia" w:hAnsi="Amalia"/>
          <w:lang w:val="en-GB"/>
        </w:rPr>
      </w:pPr>
      <w:r>
        <w:rPr>
          <w:rFonts w:ascii="Amalia" w:hAnsi="Amalia"/>
          <w:lang w:val="en-GB"/>
        </w:rPr>
        <w:t>The complaint should contain the details listed below:</w:t>
      </w:r>
    </w:p>
    <w:p>
      <w:pPr>
        <w:pStyle w:val="Odstavecseseznamem"/>
        <w:numPr>
          <w:ilvl w:val="0"/>
          <w:numId w:val="5"/>
        </w:numPr>
        <w:jc w:val="both"/>
        <w:rPr>
          <w:rFonts w:ascii="Amalia" w:hAnsi="Amalia"/>
          <w:lang w:val="en-GB"/>
        </w:rPr>
      </w:pPr>
      <w:r>
        <w:rPr>
          <w:rFonts w:ascii="Amalia" w:hAnsi="Amalia"/>
          <w:lang w:val="en-GB"/>
        </w:rPr>
        <w:t>name, surname, birth date or personal identification number and postal address of the Consumer</w:t>
      </w:r>
    </w:p>
    <w:p>
      <w:pPr>
        <w:pStyle w:val="Odstavecseseznamem"/>
        <w:numPr>
          <w:ilvl w:val="0"/>
          <w:numId w:val="5"/>
        </w:numPr>
        <w:jc w:val="both"/>
        <w:rPr>
          <w:rFonts w:ascii="Amalia" w:hAnsi="Amalia"/>
          <w:lang w:val="en-GB"/>
        </w:rPr>
      </w:pPr>
      <w:r>
        <w:rPr>
          <w:rFonts w:ascii="Amalia" w:hAnsi="Amalia"/>
          <w:lang w:val="en-GB"/>
        </w:rPr>
        <w:t>description of the facts that result in the submission of the complaint</w:t>
      </w:r>
    </w:p>
    <w:p>
      <w:pPr>
        <w:pStyle w:val="Odstavecseseznamem"/>
        <w:numPr>
          <w:ilvl w:val="0"/>
          <w:numId w:val="5"/>
        </w:numPr>
        <w:jc w:val="both"/>
        <w:rPr>
          <w:rFonts w:ascii="Amalia" w:hAnsi="Amalia"/>
          <w:lang w:val="en-GB"/>
        </w:rPr>
      </w:pPr>
      <w:r>
        <w:rPr>
          <w:rFonts w:ascii="Amalia" w:hAnsi="Amalia"/>
          <w:lang w:val="en-GB"/>
        </w:rPr>
        <w:t xml:space="preserve">Consumer´s signature in case of a written form </w:t>
      </w:r>
    </w:p>
    <w:p>
      <w:pPr>
        <w:pStyle w:val="Odstavecseseznamem"/>
        <w:numPr>
          <w:ilvl w:val="0"/>
          <w:numId w:val="5"/>
        </w:numPr>
        <w:jc w:val="both"/>
        <w:rPr>
          <w:rFonts w:ascii="Amalia" w:hAnsi="Amalia"/>
          <w:lang w:val="en-GB"/>
        </w:rPr>
      </w:pPr>
      <w:r>
        <w:rPr>
          <w:rFonts w:ascii="Amalia" w:hAnsi="Amalia"/>
          <w:lang w:val="en-GB"/>
        </w:rPr>
        <w:t xml:space="preserve">if </w:t>
      </w:r>
      <w:proofErr w:type="gramStart"/>
      <w:r>
        <w:rPr>
          <w:rFonts w:ascii="Amalia" w:hAnsi="Amalia"/>
          <w:lang w:val="en-GB"/>
        </w:rPr>
        <w:t>applicable,  the</w:t>
      </w:r>
      <w:proofErr w:type="gramEnd"/>
      <w:r>
        <w:rPr>
          <w:rFonts w:ascii="Amalia" w:hAnsi="Amalia"/>
          <w:lang w:val="en-GB"/>
        </w:rPr>
        <w:t xml:space="preserve"> Consumer´s contact details (email, telephone number) for faster way of settlement of the complaint.</w:t>
      </w:r>
    </w:p>
    <w:p>
      <w:pPr>
        <w:jc w:val="both"/>
        <w:rPr>
          <w:rFonts w:ascii="Amalia" w:hAnsi="Amalia"/>
          <w:lang w:val="en-GB"/>
        </w:rPr>
      </w:pPr>
    </w:p>
    <w:p>
      <w:pPr>
        <w:pStyle w:val="Odstavecseseznamem"/>
        <w:numPr>
          <w:ilvl w:val="0"/>
          <w:numId w:val="2"/>
        </w:numPr>
        <w:spacing w:after="120"/>
        <w:rPr>
          <w:rFonts w:ascii="Amalia" w:hAnsi="Amalia"/>
          <w:b/>
          <w:bCs/>
          <w:u w:val="single"/>
          <w:lang w:val="en-GB"/>
        </w:rPr>
      </w:pPr>
      <w:r>
        <w:rPr>
          <w:rFonts w:ascii="Amalia" w:hAnsi="Amalia"/>
          <w:b/>
          <w:bCs/>
          <w:u w:val="single"/>
          <w:lang w:val="en-GB"/>
        </w:rPr>
        <w:t>Settlement of the complaint</w:t>
      </w:r>
    </w:p>
    <w:p>
      <w:pPr>
        <w:jc w:val="both"/>
        <w:rPr>
          <w:rFonts w:ascii="Amalia" w:hAnsi="Amalia"/>
          <w:lang w:val="en-GB"/>
        </w:rPr>
      </w:pPr>
      <w:r>
        <w:rPr>
          <w:rFonts w:ascii="Amalia" w:hAnsi="Amalia"/>
          <w:lang w:val="en-GB"/>
        </w:rPr>
        <w:t>Notification on the settlement of the complaint by RLCZ is always provided in writing. Time limit for settlement of the complaint is 30 calendar days from receipt of the complaint by RLCZ. The time limit does not include the necessary time required for the Consumer to correct and / or complete the complaint, which the Consumer may also be invited by RLCZ. If, in justified cases, the complaint cannot be settled within 30 calendar days from its receipt, RLCZ shall inform the Consumer and set additional time limit within which the Consumer will be informed about the settlement of the complaint.</w:t>
      </w:r>
    </w:p>
    <w:p>
      <w:pPr>
        <w:jc w:val="both"/>
        <w:rPr>
          <w:rFonts w:ascii="Amalia" w:hAnsi="Amalia"/>
          <w:lang w:val="en-GB"/>
        </w:rPr>
      </w:pPr>
    </w:p>
    <w:p>
      <w:pPr>
        <w:jc w:val="both"/>
        <w:rPr>
          <w:rFonts w:ascii="Amalia" w:hAnsi="Amalia"/>
          <w:lang w:val="en-GB"/>
        </w:rPr>
      </w:pPr>
      <w:r>
        <w:rPr>
          <w:rFonts w:ascii="Amalia" w:hAnsi="Amalia"/>
          <w:lang w:val="en-GB"/>
        </w:rPr>
        <w:t>If the Consumer disagrees with the way the complaint is settled, he / she is entitled to submit, without undue delay from the receipt of information on the way of settlement of the complaint, to the address of RLCZ registered office a written request for an investigation of the settlement of the complaint.</w:t>
      </w:r>
    </w:p>
    <w:p>
      <w:pPr>
        <w:pStyle w:val="Odstavecseseznamem"/>
        <w:rPr>
          <w:rFonts w:ascii="Amalia" w:hAnsi="Amalia"/>
          <w:b/>
          <w:bCs/>
          <w:u w:val="single"/>
          <w:lang w:val="en-GB"/>
        </w:rPr>
      </w:pPr>
    </w:p>
    <w:p>
      <w:pPr>
        <w:pStyle w:val="Odstavecseseznamem"/>
        <w:numPr>
          <w:ilvl w:val="0"/>
          <w:numId w:val="2"/>
        </w:numPr>
        <w:spacing w:after="120"/>
        <w:rPr>
          <w:rFonts w:ascii="Amalia" w:hAnsi="Amalia"/>
          <w:b/>
          <w:bCs/>
          <w:u w:val="single"/>
          <w:lang w:val="en-GB"/>
        </w:rPr>
      </w:pPr>
      <w:r>
        <w:rPr>
          <w:rFonts w:ascii="Amalia" w:hAnsi="Amalia"/>
          <w:b/>
          <w:bCs/>
          <w:u w:val="single"/>
          <w:lang w:val="en-GB"/>
        </w:rPr>
        <w:lastRenderedPageBreak/>
        <w:t>Information on the right to out-of-court resolution of consumer disputes and the supervisory authority</w:t>
      </w:r>
    </w:p>
    <w:p>
      <w:pPr>
        <w:jc w:val="both"/>
        <w:rPr>
          <w:rFonts w:ascii="Amalia" w:hAnsi="Amalia"/>
          <w:lang w:val="en-GB"/>
        </w:rPr>
      </w:pPr>
      <w:r>
        <w:rPr>
          <w:rFonts w:ascii="Amalia" w:hAnsi="Amalia"/>
          <w:lang w:val="en-GB"/>
        </w:rPr>
        <w:t>If the Consumer is not satisfied with the settlement of the complaint, he has the right to out-of-court resolution through the Financial Arbiter pursuant to Act No. 229/2002 Coll., on Financial Arbiter, as amended (</w:t>
      </w:r>
      <w:hyperlink r:id="rId9" w:history="1">
        <w:r>
          <w:rPr>
            <w:rFonts w:ascii="Amalia" w:hAnsi="Amalia"/>
            <w:lang w:val="en-GB"/>
          </w:rPr>
          <w:t>www.finarbitr.cz</w:t>
        </w:r>
      </w:hyperlink>
      <w:r>
        <w:rPr>
          <w:rFonts w:ascii="Amalia" w:hAnsi="Amalia"/>
          <w:lang w:val="en-GB"/>
        </w:rPr>
        <w:t>).</w:t>
      </w:r>
    </w:p>
    <w:p>
      <w:pPr>
        <w:jc w:val="both"/>
        <w:rPr>
          <w:rFonts w:ascii="Amalia" w:hAnsi="Amalia"/>
          <w:lang w:val="en-GB"/>
        </w:rPr>
      </w:pPr>
    </w:p>
    <w:p>
      <w:pPr>
        <w:jc w:val="both"/>
        <w:rPr>
          <w:rFonts w:ascii="Amalia" w:hAnsi="Amalia"/>
          <w:lang w:val="en-GB"/>
        </w:rPr>
      </w:pPr>
      <w:r>
        <w:rPr>
          <w:rFonts w:ascii="Amalia" w:hAnsi="Amalia"/>
          <w:lang w:val="en-GB"/>
        </w:rPr>
        <w:t xml:space="preserve">Supervision of compliance with the RLCZ´s obligations in providing consumer loan is carried out by the Czech National Bank, </w:t>
      </w:r>
      <w:proofErr w:type="spellStart"/>
      <w:r>
        <w:rPr>
          <w:rFonts w:ascii="Amalia" w:hAnsi="Amalia"/>
          <w:lang w:val="en-GB"/>
        </w:rPr>
        <w:t>Senovážná</w:t>
      </w:r>
      <w:proofErr w:type="spellEnd"/>
      <w:r>
        <w:rPr>
          <w:rFonts w:ascii="Amalia" w:hAnsi="Amalia"/>
          <w:lang w:val="en-GB"/>
        </w:rPr>
        <w:t xml:space="preserve"> 3, 115 03 Prague 1, phone number (the green line): 800 160 170, email: </w:t>
      </w:r>
      <w:hyperlink r:id="rId10" w:history="1">
        <w:r>
          <w:rPr>
            <w:rStyle w:val="Hypertextovodkaz"/>
            <w:rFonts w:ascii="Amalia" w:hAnsi="Amalia"/>
            <w:lang w:val="en-GB"/>
          </w:rPr>
          <w:t>podatelna@cnb.cz</w:t>
        </w:r>
      </w:hyperlink>
      <w:r>
        <w:rPr>
          <w:rFonts w:ascii="Amalia" w:hAnsi="Amalia"/>
          <w:lang w:val="en-GB"/>
        </w:rPr>
        <w:t xml:space="preserve">, </w:t>
      </w:r>
      <w:hyperlink r:id="rId11" w:history="1">
        <w:r>
          <w:rPr>
            <w:rStyle w:val="Hypertextovodkaz"/>
            <w:rFonts w:ascii="Amalia" w:hAnsi="Amalia"/>
            <w:lang w:val="en-GB"/>
          </w:rPr>
          <w:t>www.cnb.cz</w:t>
        </w:r>
      </w:hyperlink>
      <w:r>
        <w:rPr>
          <w:rFonts w:ascii="Amalia" w:hAnsi="Amalia"/>
          <w:lang w:val="en-GB"/>
        </w:rPr>
        <w:t>.</w:t>
      </w:r>
    </w:p>
    <w:p>
      <w:pPr>
        <w:jc w:val="both"/>
        <w:rPr>
          <w:rFonts w:ascii="Amalia" w:hAnsi="Amalia"/>
          <w:lang w:val="en-GB"/>
        </w:rPr>
      </w:pPr>
    </w:p>
    <w:p>
      <w:pPr>
        <w:pStyle w:val="Odstavecseseznamem"/>
        <w:numPr>
          <w:ilvl w:val="0"/>
          <w:numId w:val="2"/>
        </w:numPr>
        <w:spacing w:after="120"/>
        <w:rPr>
          <w:rFonts w:ascii="Amalia" w:hAnsi="Amalia"/>
          <w:b/>
          <w:bCs/>
          <w:u w:val="single"/>
          <w:lang w:val="en-GB"/>
        </w:rPr>
      </w:pPr>
      <w:r>
        <w:rPr>
          <w:rFonts w:ascii="Amalia" w:hAnsi="Amalia"/>
          <w:b/>
          <w:bCs/>
          <w:u w:val="single"/>
          <w:lang w:val="en-GB"/>
        </w:rPr>
        <w:t>Final Provisions</w:t>
      </w:r>
    </w:p>
    <w:p>
      <w:pPr>
        <w:jc w:val="both"/>
        <w:rPr>
          <w:rFonts w:ascii="Amalia" w:hAnsi="Amalia"/>
          <w:lang w:val="en-GB"/>
        </w:rPr>
      </w:pPr>
      <w:r>
        <w:rPr>
          <w:rFonts w:ascii="Amalia" w:hAnsi="Amalia"/>
          <w:lang w:val="en-GB"/>
        </w:rPr>
        <w:t>RLCZ is entitled to amend this Complaint Procedure in connection with changes in legislation or internal procedures.</w:t>
      </w:r>
    </w:p>
    <w:p>
      <w:pPr>
        <w:jc w:val="both"/>
        <w:rPr>
          <w:rFonts w:ascii="Amalia" w:hAnsi="Amalia"/>
          <w:lang w:val="en-GB"/>
        </w:rPr>
      </w:pPr>
      <w:r>
        <w:rPr>
          <w:rFonts w:ascii="Amalia" w:hAnsi="Amalia"/>
          <w:lang w:val="en-GB"/>
        </w:rPr>
        <w:t xml:space="preserve">This Complaint Procedure shall </w:t>
      </w:r>
      <w:proofErr w:type="gramStart"/>
      <w:r>
        <w:rPr>
          <w:rFonts w:ascii="Amalia" w:hAnsi="Amalia"/>
          <w:lang w:val="en-GB"/>
        </w:rPr>
        <w:t>enter into</w:t>
      </w:r>
      <w:proofErr w:type="gramEnd"/>
      <w:r>
        <w:rPr>
          <w:rFonts w:ascii="Amalia" w:hAnsi="Amalia"/>
          <w:lang w:val="en-GB"/>
        </w:rPr>
        <w:t xml:space="preserve"> effect on 16/01/2018 and it is published on </w:t>
      </w:r>
      <w:hyperlink r:id="rId12" w:history="1">
        <w:r>
          <w:rPr>
            <w:rStyle w:val="Hypertextovodkaz"/>
            <w:rFonts w:ascii="Amalia" w:hAnsi="Amalia"/>
            <w:lang w:val="en-GB"/>
          </w:rPr>
          <w:t>www.rl.cz</w:t>
        </w:r>
      </w:hyperlink>
      <w:r>
        <w:rPr>
          <w:rFonts w:ascii="Amalia" w:hAnsi="Amalia"/>
          <w:lang w:val="en-GB"/>
        </w:rPr>
        <w:t xml:space="preserve">. </w:t>
      </w:r>
    </w:p>
    <w:p>
      <w:pPr>
        <w:jc w:val="both"/>
        <w:rPr>
          <w:rFonts w:ascii="Amalia" w:hAnsi="Amalia"/>
          <w:lang w:val="en-GB"/>
        </w:rPr>
      </w:pPr>
    </w:p>
    <w:p>
      <w:pPr>
        <w:pStyle w:val="KSodstavec"/>
        <w:numPr>
          <w:ilvl w:val="0"/>
          <w:numId w:val="0"/>
        </w:numPr>
        <w:ind w:left="1440" w:hanging="720"/>
        <w:rPr>
          <w:rFonts w:ascii="Century Gothic" w:hAnsi="Century Gothic"/>
          <w:i/>
          <w:lang w:val="en-GB"/>
        </w:rPr>
      </w:pPr>
    </w:p>
    <w:p>
      <w:pPr>
        <w:ind w:left="360"/>
        <w:jc w:val="both"/>
        <w:rPr>
          <w:rFonts w:ascii="Amalia" w:hAnsi="Amalia"/>
          <w:lang w:val="en-GB"/>
        </w:rPr>
      </w:pPr>
    </w:p>
    <w:sectPr>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uturaTEE">
    <w:altName w:val="Times New Roman"/>
    <w:panose1 w:val="00000000000000000000"/>
    <w:charset w:val="00"/>
    <w:family w:val="auto"/>
    <w:pitch w:val="variable"/>
    <w:sig w:usb0="00000007" w:usb1="00000000" w:usb2="00000000" w:usb3="00000000" w:csb0="00000083" w:csb1="00000000"/>
  </w:font>
  <w:font w:name="Georgia">
    <w:panose1 w:val="02040502050405020303"/>
    <w:charset w:val="EE"/>
    <w:family w:val="roman"/>
    <w:pitch w:val="variable"/>
    <w:sig w:usb0="00000287" w:usb1="00000000" w:usb2="00000000" w:usb3="00000000" w:csb0="0000009F" w:csb1="00000000"/>
  </w:font>
  <w:font w:name="Amalia">
    <w:panose1 w:val="020B0504020203020204"/>
    <w:charset w:val="EE"/>
    <w:family w:val="swiss"/>
    <w:pitch w:val="variable"/>
    <w:sig w:usb0="A000026F" w:usb1="10000013" w:usb2="00000000" w:usb3="00000000" w:csb0="00000197" w:csb1="00000000"/>
  </w:font>
  <w:font w:name="Poppins">
    <w:altName w:val="Poppins"/>
    <w:charset w:val="EE"/>
    <w:family w:val="auto"/>
    <w:pitch w:val="variable"/>
    <w:sig w:usb0="00008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36"/>
        <w:tab w:val="right" w:pos="9072"/>
      </w:tabs>
      <w:rPr>
        <w:rFonts w:ascii="Poppins" w:eastAsia="Poppins" w:hAnsi="Poppins" w:cs="Poppins"/>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36"/>
        <w:tab w:val="right" w:pos="9072"/>
      </w:tabs>
      <w:jc w:val="right"/>
      <w:rPr>
        <w:color w:val="000000"/>
        <w:szCs w:val="20"/>
      </w:rPr>
    </w:pPr>
    <w:r>
      <w:rPr>
        <w:noProof/>
        <w:color w:val="000000"/>
        <w:szCs w:val="20"/>
      </w:rPr>
      <w:drawing>
        <wp:inline distT="0" distB="0" distL="0" distR="0">
          <wp:extent cx="1033780" cy="278130"/>
          <wp:effectExtent l="0" t="0" r="0" b="0"/>
          <wp:docPr id="2" name="image1.jpg" descr="RLeasing"/>
          <wp:cNvGraphicFramePr/>
          <a:graphic xmlns:a="http://schemas.openxmlformats.org/drawingml/2006/main">
            <a:graphicData uri="http://schemas.openxmlformats.org/drawingml/2006/picture">
              <pic:pic xmlns:pic="http://schemas.openxmlformats.org/drawingml/2006/picture">
                <pic:nvPicPr>
                  <pic:cNvPr id="0" name="image1.jpg" descr="RLeasing"/>
                  <pic:cNvPicPr preferRelativeResize="0"/>
                </pic:nvPicPr>
                <pic:blipFill>
                  <a:blip r:embed="rId1"/>
                  <a:srcRect/>
                  <a:stretch>
                    <a:fillRect/>
                  </a:stretch>
                </pic:blipFill>
                <pic:spPr>
                  <a:xfrm>
                    <a:off x="0" y="0"/>
                    <a:ext cx="1033780" cy="2781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8FB"/>
    <w:multiLevelType w:val="multilevel"/>
    <w:tmpl w:val="BFB8A658"/>
    <w:lvl w:ilvl="0">
      <w:start w:val="1"/>
      <w:numFmt w:val="upperRoman"/>
      <w:lvlText w:val="%1."/>
      <w:lvlJc w:val="left"/>
      <w:pPr>
        <w:tabs>
          <w:tab w:val="num" w:pos="567"/>
        </w:tabs>
      </w:pPr>
      <w:rPr>
        <w:rFonts w:ascii="Century Gothic" w:hAnsi="Century Gothic" w:cs="Times New Roman" w:hint="default"/>
        <w:b/>
        <w:i w:val="0"/>
        <w:sz w:val="16"/>
        <w:szCs w:val="16"/>
      </w:rPr>
    </w:lvl>
    <w:lvl w:ilvl="1">
      <w:start w:val="1"/>
      <w:numFmt w:val="decimal"/>
      <w:lvlText w:val="%1.%2."/>
      <w:lvlJc w:val="left"/>
      <w:pPr>
        <w:tabs>
          <w:tab w:val="num" w:pos="567"/>
        </w:tabs>
      </w:pPr>
      <w:rPr>
        <w:rFonts w:ascii="Century Gothic" w:hAnsi="Century Gothic" w:cs="Times New Roman" w:hint="default"/>
        <w:b/>
        <w:i w:val="0"/>
        <w:sz w:val="16"/>
        <w:szCs w:val="16"/>
      </w:rPr>
    </w:lvl>
    <w:lvl w:ilvl="2">
      <w:start w:val="1"/>
      <w:numFmt w:val="decimal"/>
      <w:lvlText w:val="%1.%2.%3."/>
      <w:lvlJc w:val="left"/>
      <w:pPr>
        <w:tabs>
          <w:tab w:val="num" w:pos="964"/>
        </w:tabs>
        <w:ind w:left="227"/>
      </w:pPr>
      <w:rPr>
        <w:rFonts w:ascii="Century Gothic" w:hAnsi="Century Gothic" w:cs="Times New Roman" w:hint="default"/>
        <w:b/>
        <w:i w:val="0"/>
        <w:sz w:val="16"/>
        <w:szCs w:val="16"/>
      </w:rPr>
    </w:lvl>
    <w:lvl w:ilvl="3">
      <w:start w:val="1"/>
      <w:numFmt w:val="lowerLetter"/>
      <w:lvlText w:val="%4)"/>
      <w:lvlJc w:val="left"/>
      <w:pPr>
        <w:tabs>
          <w:tab w:val="num" w:pos="567"/>
        </w:tabs>
        <w:ind w:left="227"/>
      </w:pPr>
      <w:rPr>
        <w:rFonts w:ascii="Century Gothic" w:hAnsi="Century Gothic" w:cs="Times New Roman" w:hint="default"/>
        <w:b/>
        <w:i w:val="0"/>
        <w:sz w:val="16"/>
        <w:szCs w:val="16"/>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 w15:restartNumberingAfterBreak="0">
    <w:nsid w:val="10AE1EA0"/>
    <w:multiLevelType w:val="hybridMultilevel"/>
    <w:tmpl w:val="424A8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756904"/>
    <w:multiLevelType w:val="hybridMultilevel"/>
    <w:tmpl w:val="33DA8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457490"/>
    <w:multiLevelType w:val="hybridMultilevel"/>
    <w:tmpl w:val="EE909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CE44756"/>
    <w:multiLevelType w:val="multilevel"/>
    <w:tmpl w:val="C69013C6"/>
    <w:lvl w:ilvl="0">
      <w:start w:val="1"/>
      <w:numFmt w:val="decimal"/>
      <w:pStyle w:val="StylKSlnekdkovnNsobky09"/>
      <w:lvlText w:val="%1."/>
      <w:lvlJc w:val="left"/>
      <w:pPr>
        <w:tabs>
          <w:tab w:val="num" w:pos="720"/>
        </w:tabs>
        <w:ind w:left="720" w:hanging="720"/>
      </w:pPr>
    </w:lvl>
    <w:lvl w:ilvl="1">
      <w:start w:val="1"/>
      <w:numFmt w:val="decimal"/>
      <w:pStyle w:val="KSodstavec"/>
      <w:lvlText w:val="%2."/>
      <w:lvlJc w:val="left"/>
      <w:pPr>
        <w:tabs>
          <w:tab w:val="num" w:pos="1440"/>
        </w:tabs>
        <w:ind w:left="1440" w:hanging="720"/>
      </w:pPr>
    </w:lvl>
    <w:lvl w:ilvl="2">
      <w:start w:val="1"/>
      <w:numFmt w:val="decimal"/>
      <w:pStyle w:val="KSPododstavec"/>
      <w:lvlText w:val="%3."/>
      <w:lvlJc w:val="left"/>
      <w:pPr>
        <w:tabs>
          <w:tab w:val="num" w:pos="2160"/>
        </w:tabs>
        <w:ind w:left="2160" w:hanging="720"/>
      </w:pPr>
    </w:lvl>
    <w:lvl w:ilvl="3">
      <w:start w:val="1"/>
      <w:numFmt w:val="decimal"/>
      <w:pStyle w:val="KSVe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E36856"/>
    <w:multiLevelType w:val="hybridMultilevel"/>
    <w:tmpl w:val="91FE2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02858838">
    <w:abstractNumId w:val="4"/>
  </w:num>
  <w:num w:numId="2" w16cid:durableId="617105694">
    <w:abstractNumId w:val="5"/>
  </w:num>
  <w:num w:numId="3" w16cid:durableId="651132809">
    <w:abstractNumId w:val="1"/>
  </w:num>
  <w:num w:numId="4" w16cid:durableId="2021276370">
    <w:abstractNumId w:val="3"/>
  </w:num>
  <w:num w:numId="5" w16cid:durableId="117844618">
    <w:abstractNumId w:val="2"/>
  </w:num>
  <w:num w:numId="6" w16cid:durableId="232013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CACC84D-1421-495E-93CA-EA00DFA3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Cs w:val="24"/>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99"/>
    <w:qFormat/>
    <w:pPr>
      <w:jc w:val="center"/>
    </w:pPr>
    <w:rPr>
      <w:b/>
      <w:bCs/>
      <w:sz w:val="32"/>
      <w:szCs w:val="20"/>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4"/>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character" w:customStyle="1" w:styleId="NzevChar">
    <w:name w:val="Název Char"/>
    <w:basedOn w:val="Standardnpsmoodstavce"/>
    <w:link w:val="Nzev"/>
    <w:uiPriority w:val="99"/>
    <w:rPr>
      <w:rFonts w:ascii="Times New Roman" w:eastAsia="Times New Roman" w:hAnsi="Times New Roman" w:cs="Times New Roman"/>
      <w:b/>
      <w:bCs/>
      <w:sz w:val="32"/>
      <w:szCs w:val="20"/>
      <w:lang w:eastAsia="cs-CZ"/>
    </w:rPr>
  </w:style>
  <w:style w:type="paragraph" w:customStyle="1" w:styleId="KSodstavec">
    <w:name w:val="KS odstavec"/>
    <w:basedOn w:val="Normln"/>
    <w:pPr>
      <w:numPr>
        <w:ilvl w:val="1"/>
        <w:numId w:val="1"/>
      </w:numPr>
      <w:spacing w:line="216" w:lineRule="auto"/>
      <w:jc w:val="both"/>
    </w:pPr>
    <w:rPr>
      <w:rFonts w:ascii="FuturaTEE" w:hAnsi="FuturaTEE"/>
      <w:sz w:val="18"/>
      <w:szCs w:val="22"/>
    </w:rPr>
  </w:style>
  <w:style w:type="paragraph" w:customStyle="1" w:styleId="KSPododstavec">
    <w:name w:val="KS Pododstavec"/>
    <w:basedOn w:val="Normln"/>
    <w:pPr>
      <w:numPr>
        <w:ilvl w:val="2"/>
        <w:numId w:val="1"/>
      </w:numPr>
      <w:spacing w:line="216" w:lineRule="auto"/>
      <w:jc w:val="both"/>
    </w:pPr>
    <w:rPr>
      <w:rFonts w:ascii="FuturaTEE" w:hAnsi="FuturaTEE"/>
      <w:sz w:val="18"/>
      <w:szCs w:val="20"/>
    </w:rPr>
  </w:style>
  <w:style w:type="paragraph" w:customStyle="1" w:styleId="KSVet">
    <w:name w:val="KS Výčet"/>
    <w:basedOn w:val="Normln"/>
    <w:pPr>
      <w:numPr>
        <w:ilvl w:val="3"/>
        <w:numId w:val="1"/>
      </w:numPr>
      <w:spacing w:line="216" w:lineRule="auto"/>
      <w:jc w:val="both"/>
    </w:pPr>
    <w:rPr>
      <w:rFonts w:ascii="FuturaTEE" w:hAnsi="FuturaTEE"/>
      <w:sz w:val="18"/>
      <w:szCs w:val="20"/>
    </w:rPr>
  </w:style>
  <w:style w:type="paragraph" w:customStyle="1" w:styleId="StylKSlnekdkovnNsobky09">
    <w:name w:val="Styl KS článek + Řádkování:  Násobky 09 ř."/>
    <w:basedOn w:val="Normln"/>
    <w:pPr>
      <w:keepNext/>
      <w:numPr>
        <w:numId w:val="1"/>
      </w:numPr>
      <w:spacing w:before="240" w:line="216" w:lineRule="auto"/>
      <w:jc w:val="both"/>
    </w:pPr>
    <w:rPr>
      <w:rFonts w:ascii="FuturaTEE" w:hAnsi="FuturaTEE"/>
      <w:b/>
      <w:bCs/>
      <w:sz w:val="18"/>
      <w:szCs w:val="20"/>
    </w:rPr>
  </w:style>
  <w:style w:type="character" w:styleId="Hypertextovodkaz">
    <w:name w:val="Hyperlink"/>
    <w:basedOn w:val="Standardnpsmoodstavce"/>
    <w:uiPriority w:val="99"/>
    <w:semiHidden/>
    <w:rPr>
      <w:rFonts w:cs="Times New Roman"/>
      <w:color w:val="0000FF"/>
      <w:u w:val="singl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Odstavecseseznamem">
    <w:name w:val="List Paragraph"/>
    <w:basedOn w:val="Normln"/>
    <w:uiPriority w:val="34"/>
    <w:qFormat/>
    <w:pPr>
      <w:ind w:left="720"/>
      <w:contextualSpacing/>
    </w:pPr>
  </w:style>
  <w:style w:type="character" w:styleId="Nevyeenzmnka">
    <w:name w:val="Unresolved Mention"/>
    <w:basedOn w:val="Standardnpsmoodstavce"/>
    <w:uiPriority w:val="99"/>
    <w:semiHidden/>
    <w:unhideWhenUsed/>
    <w:rPr>
      <w:color w:val="605E5C"/>
      <w:shd w:val="clear" w:color="auto" w:fill="E1DFDD"/>
    </w:rPr>
  </w:style>
  <w:style w:type="paragraph" w:styleId="Revize">
    <w:name w:val="Revision"/>
    <w:hidden/>
    <w:uiPriority w:val="99"/>
    <w:semiHidden/>
    <w:rPr>
      <w:szCs w:val="24"/>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Cs w:val="20"/>
    </w:rPr>
  </w:style>
  <w:style w:type="character" w:customStyle="1" w:styleId="TextkomenteChar">
    <w:name w:val="Text komentáře Char"/>
    <w:basedOn w:val="Standardnpsmoodstavce"/>
    <w:link w:val="Textkomente"/>
    <w:uiPriority w:val="99"/>
    <w:semiHidden/>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l@r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l.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datelna@cnb.cz" TargetMode="External"/><Relationship Id="rId4" Type="http://schemas.openxmlformats.org/officeDocument/2006/relationships/settings" Target="settings.xml"/><Relationship Id="rId9" Type="http://schemas.openxmlformats.org/officeDocument/2006/relationships/hyperlink" Target="http://www.finarbit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7IEgcsn0jBOMIk2TGHBQd9QCQ==">AMUW2mXyl9EeY5Z59aZpCwk9nuQzMXf1H8o8DhJiiCiclKXhzq5lZ1JFP0myka0SBinCG/SBKLr7oF/Drx6j/THznY/Bn6nfwkwdR02hVz4lue6lW845PtqyXbYnI65Jo7Y+vQUEAAl2dtYDv4eLxt1IirWBkPieYg==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516</Words>
  <Characters>3046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karasovav</dc:creator>
  <cp:lastModifiedBy>KARASOVÁ Veronika</cp:lastModifiedBy>
  <cp:revision>23</cp:revision>
  <dcterms:created xsi:type="dcterms:W3CDTF">2023-07-17T11:31:00Z</dcterms:created>
  <dcterms:modified xsi:type="dcterms:W3CDTF">2023-07-21T06:24:00Z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2023-07-14T11:36:15Z</vt:lpwstr>
  </property>
  <property fmtid="{D5CDD505-2E9C-101B-9397-08002B2CF9AE}" pid="4" name="MSIP_Label_2a6524ed-fb1a-49fd-bafe-15c5e5ffd047_Method">
    <vt:lpwstr>Standard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fd7aa24a-cf02-4e4b-b7d4-60b218fcb985</vt:lpwstr>
  </property>
  <property fmtid="{D5CDD505-2E9C-101B-9397-08002B2CF9AE}" pid="8" name="MSIP_Label_2a6524ed-fb1a-49fd-bafe-15c5e5ffd047_ContentBits">
    <vt:lpwstr>0</vt:lpwstr>
  </property>
</Properties>
</file>